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0AD6" w14:textId="77777777" w:rsidR="002C2E24" w:rsidRDefault="00D73AC5" w:rsidP="00056335">
      <w:pPr>
        <w:tabs>
          <w:tab w:val="right" w:pos="1008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 IMMEDIATE RELEASE</w:t>
      </w:r>
      <w:r>
        <w:rPr>
          <w:rFonts w:ascii="Verdana" w:hAnsi="Verdana"/>
          <w:b/>
          <w:sz w:val="20"/>
        </w:rPr>
        <w:tab/>
        <w:t>CONTACT:</w:t>
      </w:r>
    </w:p>
    <w:p w14:paraId="05EAC26E" w14:textId="4A28EA3D" w:rsidR="0015205B" w:rsidRPr="005F21E9" w:rsidRDefault="009047FA" w:rsidP="005F21E9">
      <w:pPr>
        <w:tabs>
          <w:tab w:val="left" w:pos="6840"/>
          <w:tab w:val="right" w:pos="10080"/>
        </w:tabs>
        <w:rPr>
          <w:rFonts w:ascii="Verdana" w:hAnsi="Verdana"/>
          <w:b/>
          <w:sz w:val="20"/>
        </w:rPr>
      </w:pPr>
      <w:r>
        <w:rPr>
          <w:rFonts w:cstheme="minorHAnsi"/>
          <w:sz w:val="22"/>
          <w:szCs w:val="22"/>
        </w:rPr>
        <w:t>July 17</w:t>
      </w:r>
      <w:r w:rsidR="00056335" w:rsidRPr="0015205B">
        <w:rPr>
          <w:rFonts w:cstheme="minorHAnsi"/>
          <w:sz w:val="22"/>
          <w:szCs w:val="22"/>
        </w:rPr>
        <w:t>, 2020</w:t>
      </w:r>
      <w:r w:rsidR="005F21E9">
        <w:rPr>
          <w:rFonts w:ascii="Verdana" w:hAnsi="Verdana"/>
          <w:b/>
          <w:sz w:val="20"/>
        </w:rPr>
        <w:tab/>
      </w:r>
      <w:r w:rsidR="005F21E9">
        <w:rPr>
          <w:rFonts w:ascii="Verdana" w:hAnsi="Verdana"/>
          <w:b/>
          <w:sz w:val="20"/>
        </w:rPr>
        <w:tab/>
      </w:r>
      <w:r w:rsidR="00686AD5" w:rsidRPr="0015205B">
        <w:rPr>
          <w:rFonts w:eastAsia="Calibri" w:cstheme="minorHAnsi"/>
          <w:sz w:val="22"/>
          <w:szCs w:val="22"/>
        </w:rPr>
        <w:t>Michelle Castrow</w:t>
      </w:r>
      <w:r w:rsidR="00686AD5" w:rsidRPr="0015205B">
        <w:rPr>
          <w:rFonts w:eastAsia="Calibri" w:cstheme="minorHAnsi"/>
          <w:sz w:val="22"/>
          <w:szCs w:val="22"/>
        </w:rPr>
        <w:br/>
      </w:r>
      <w:r w:rsidR="00686AD5" w:rsidRPr="0015205B">
        <w:rPr>
          <w:rFonts w:eastAsia="Calibri" w:cstheme="minorHAnsi"/>
          <w:sz w:val="22"/>
          <w:szCs w:val="22"/>
        </w:rPr>
        <w:tab/>
      </w:r>
      <w:r w:rsidR="00686AD5">
        <w:rPr>
          <w:rFonts w:eastAsia="Calibri" w:cstheme="minorHAnsi"/>
          <w:sz w:val="22"/>
          <w:szCs w:val="22"/>
        </w:rPr>
        <w:tab/>
      </w:r>
      <w:r w:rsidR="00686AD5" w:rsidRPr="0015205B">
        <w:rPr>
          <w:rFonts w:eastAsia="Calibri" w:cstheme="minorHAnsi"/>
          <w:sz w:val="22"/>
          <w:szCs w:val="22"/>
        </w:rPr>
        <w:t>713.826.6597</w:t>
      </w:r>
      <w:r w:rsidR="00686AD5" w:rsidRPr="0015205B">
        <w:rPr>
          <w:rFonts w:eastAsia="Calibri" w:cstheme="minorHAnsi"/>
          <w:sz w:val="22"/>
          <w:szCs w:val="22"/>
        </w:rPr>
        <w:br/>
      </w:r>
      <w:r w:rsidR="00686AD5" w:rsidRPr="0015205B">
        <w:rPr>
          <w:rFonts w:eastAsia="Calibri" w:cstheme="minorHAnsi"/>
          <w:sz w:val="22"/>
          <w:szCs w:val="22"/>
        </w:rPr>
        <w:tab/>
      </w:r>
      <w:r w:rsidR="00686AD5">
        <w:rPr>
          <w:rFonts w:eastAsia="Calibri" w:cstheme="minorHAnsi"/>
          <w:sz w:val="22"/>
          <w:szCs w:val="22"/>
        </w:rPr>
        <w:tab/>
      </w:r>
      <w:hyperlink r:id="rId7" w:history="1">
        <w:r w:rsidR="00686AD5" w:rsidRPr="00586B61">
          <w:rPr>
            <w:rStyle w:val="Hyperlink"/>
            <w:rFonts w:eastAsia="Calibri" w:cstheme="minorHAnsi"/>
            <w:sz w:val="22"/>
            <w:szCs w:val="22"/>
          </w:rPr>
          <w:t>michelle.castrow@wrksolutions.com</w:t>
        </w:r>
      </w:hyperlink>
    </w:p>
    <w:p w14:paraId="7F735AC7" w14:textId="77777777" w:rsidR="00EB0C9A" w:rsidRDefault="00EB0C9A" w:rsidP="00056335">
      <w:pPr>
        <w:tabs>
          <w:tab w:val="left" w:pos="6840"/>
          <w:tab w:val="right" w:pos="10080"/>
        </w:tabs>
        <w:spacing w:after="160" w:line="259" w:lineRule="auto"/>
        <w:rPr>
          <w:rFonts w:eastAsia="Calibri" w:cstheme="minorHAnsi"/>
          <w:sz w:val="22"/>
          <w:szCs w:val="22"/>
        </w:rPr>
      </w:pPr>
    </w:p>
    <w:p w14:paraId="21F51A1E" w14:textId="79291292" w:rsidR="00C85E69" w:rsidRDefault="005A3AA3" w:rsidP="00C210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UNEMPLOYMENT </w:t>
      </w:r>
      <w:r w:rsidR="006C2D55">
        <w:rPr>
          <w:b/>
          <w:bCs/>
          <w:sz w:val="28"/>
          <w:szCs w:val="28"/>
        </w:rPr>
        <w:t xml:space="preserve">SEES RECORD </w:t>
      </w:r>
      <w:r w:rsidR="00D92AD8">
        <w:rPr>
          <w:b/>
          <w:bCs/>
          <w:sz w:val="28"/>
          <w:szCs w:val="28"/>
        </w:rPr>
        <w:t xml:space="preserve">ONE-MONTH </w:t>
      </w:r>
      <w:r w:rsidR="006C2D55">
        <w:rPr>
          <w:b/>
          <w:bCs/>
          <w:sz w:val="28"/>
          <w:szCs w:val="28"/>
        </w:rPr>
        <w:t>DECLINE TO</w:t>
      </w:r>
      <w:r>
        <w:rPr>
          <w:b/>
          <w:bCs/>
          <w:sz w:val="28"/>
          <w:szCs w:val="28"/>
        </w:rPr>
        <w:t xml:space="preserve"> 9.9%</w:t>
      </w:r>
      <w:r w:rsidR="006C2D55">
        <w:rPr>
          <w:b/>
          <w:bCs/>
          <w:sz w:val="28"/>
          <w:szCs w:val="28"/>
        </w:rPr>
        <w:t xml:space="preserve"> </w:t>
      </w:r>
      <w:r w:rsidR="00D37A8B">
        <w:rPr>
          <w:b/>
          <w:bCs/>
          <w:sz w:val="28"/>
          <w:szCs w:val="28"/>
        </w:rPr>
        <w:t xml:space="preserve">FROM </w:t>
      </w:r>
      <w:r w:rsidR="006C2D55">
        <w:rPr>
          <w:b/>
          <w:bCs/>
          <w:sz w:val="28"/>
          <w:szCs w:val="28"/>
        </w:rPr>
        <w:t xml:space="preserve">13.9% IN </w:t>
      </w:r>
      <w:r w:rsidR="00D37A8B">
        <w:rPr>
          <w:b/>
          <w:bCs/>
          <w:sz w:val="28"/>
          <w:szCs w:val="28"/>
        </w:rPr>
        <w:t xml:space="preserve">MAY </w:t>
      </w:r>
    </w:p>
    <w:p w14:paraId="40B9447D" w14:textId="4DFFAAD5" w:rsidR="00477ADB" w:rsidRDefault="00D37A8B" w:rsidP="00C21082">
      <w:pPr>
        <w:jc w:val="center"/>
      </w:pPr>
      <w:r>
        <w:rPr>
          <w:b/>
          <w:bCs/>
          <w:sz w:val="28"/>
          <w:szCs w:val="28"/>
        </w:rPr>
        <w:t>ECONOMISTS CAUTIOUS</w:t>
      </w:r>
      <w:r w:rsidR="005A3A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ABOUT SUSTAINED ECONOMIC RECOVERY</w:t>
      </w:r>
    </w:p>
    <w:p w14:paraId="574E9680" w14:textId="77777777" w:rsidR="00C21082" w:rsidRDefault="00C21082" w:rsidP="0074354D"/>
    <w:p w14:paraId="1AC4AA8C" w14:textId="313D6C54" w:rsidR="00DF10D9" w:rsidRDefault="00FB29B7" w:rsidP="0074354D">
      <w:r>
        <w:t xml:space="preserve">(HOUSTON) </w:t>
      </w:r>
      <w:r w:rsidR="00DF10D9">
        <w:t xml:space="preserve">The </w:t>
      </w:r>
      <w:r w:rsidR="00242447">
        <w:t xml:space="preserve">June </w:t>
      </w:r>
      <w:r w:rsidR="00D92AD8">
        <w:t xml:space="preserve">not-seasonally-adjusted </w:t>
      </w:r>
      <w:r w:rsidR="00242447">
        <w:t>unemployment rate fell to 9.9</w:t>
      </w:r>
      <w:r w:rsidR="00E07740">
        <w:t>-</w:t>
      </w:r>
      <w:r w:rsidR="00242447">
        <w:t>percent</w:t>
      </w:r>
      <w:r w:rsidR="00DF10D9">
        <w:t xml:space="preserve"> in Houston</w:t>
      </w:r>
      <w:r w:rsidR="00242447">
        <w:t>, down from May’</w:t>
      </w:r>
      <w:r w:rsidR="00E07740">
        <w:t>s 13.9-</w:t>
      </w:r>
      <w:r w:rsidR="00242447">
        <w:t>percent</w:t>
      </w:r>
      <w:r w:rsidR="00E07740">
        <w:t xml:space="preserve"> </w:t>
      </w:r>
      <w:r w:rsidR="00D92AD8">
        <w:t xml:space="preserve">although </w:t>
      </w:r>
      <w:r w:rsidR="00E07740">
        <w:t>up</w:t>
      </w:r>
      <w:r w:rsidR="00D92AD8">
        <w:t xml:space="preserve"> significantly</w:t>
      </w:r>
      <w:r w:rsidR="00E07740">
        <w:t xml:space="preserve"> from 4-</w:t>
      </w:r>
      <w:r w:rsidR="00242447">
        <w:t>percent in 2019</w:t>
      </w:r>
      <w:r w:rsidR="00401115">
        <w:t xml:space="preserve"> </w:t>
      </w:r>
      <w:r w:rsidR="00401115" w:rsidRPr="00F77F80">
        <w:t>according to data released this morning by Workforce Solutions</w:t>
      </w:r>
      <w:r w:rsidR="00242447" w:rsidRPr="00F77F80">
        <w:t xml:space="preserve">. </w:t>
      </w:r>
      <w:r w:rsidR="00DF10D9" w:rsidRPr="00F77F80">
        <w:t xml:space="preserve">This was </w:t>
      </w:r>
      <w:r w:rsidR="00E07740">
        <w:t>above the statewide rate of 8.9-</w:t>
      </w:r>
      <w:r w:rsidR="00DF10D9" w:rsidRPr="00F77F80">
        <w:t xml:space="preserve">percent and </w:t>
      </w:r>
      <w:r w:rsidR="00E07740">
        <w:t>below the national rate of 11.2-</w:t>
      </w:r>
      <w:r w:rsidR="00DF10D9" w:rsidRPr="00F77F80">
        <w:t>percent.</w:t>
      </w:r>
    </w:p>
    <w:p w14:paraId="26A7551E" w14:textId="77777777" w:rsidR="00DF10D9" w:rsidRDefault="00DF10D9" w:rsidP="0074354D"/>
    <w:p w14:paraId="1C71949B" w14:textId="094F8B5F" w:rsidR="00D92AD8" w:rsidRDefault="00401115" w:rsidP="00D92AD8">
      <w:r>
        <w:t>Houston-area employers added approximately 55-t</w:t>
      </w:r>
      <w:r w:rsidR="005D7D7E">
        <w:t xml:space="preserve">housand jobs in June. Over half of the monthly gains were in the </w:t>
      </w:r>
      <w:r w:rsidR="006C2D55">
        <w:t>L</w:t>
      </w:r>
      <w:r w:rsidR="005D7D7E">
        <w:t xml:space="preserve">eisure and </w:t>
      </w:r>
      <w:r w:rsidR="006C2D55">
        <w:t>H</w:t>
      </w:r>
      <w:r w:rsidR="005D7D7E">
        <w:t xml:space="preserve">ospitality sector, which added 28,200 jobs in June. </w:t>
      </w:r>
      <w:r w:rsidR="005D7D7E" w:rsidRPr="005D7D7E">
        <w:t xml:space="preserve">Accommodation and </w:t>
      </w:r>
      <w:r w:rsidR="005D7D7E">
        <w:t>food s</w:t>
      </w:r>
      <w:r w:rsidR="005D7D7E" w:rsidRPr="005D7D7E">
        <w:t>ervices</w:t>
      </w:r>
      <w:r w:rsidR="006C2D55">
        <w:t>, primarily made up of restaurants and bars,</w:t>
      </w:r>
      <w:r w:rsidR="005D7D7E" w:rsidRPr="005D7D7E">
        <w:t xml:space="preserve"> was the largest contributor to </w:t>
      </w:r>
      <w:r w:rsidR="005D7D7E">
        <w:t>this this sector’s overall</w:t>
      </w:r>
      <w:r w:rsidR="005D7D7E" w:rsidRPr="005D7D7E">
        <w:t xml:space="preserve"> increase</w:t>
      </w:r>
      <w:r w:rsidR="005D7D7E">
        <w:t>. Gains were also recorded in e</w:t>
      </w:r>
      <w:r w:rsidR="001E3062" w:rsidRPr="001E3062">
        <w:t xml:space="preserve">ducation and </w:t>
      </w:r>
      <w:r w:rsidR="005D7D7E">
        <w:t xml:space="preserve">health services, </w:t>
      </w:r>
      <w:r w:rsidR="006B4AEE">
        <w:t xml:space="preserve">a sector that typically sheds jobs in public education due to the end of the school year. </w:t>
      </w:r>
      <w:r w:rsidR="001E3062">
        <w:t>Construction also saw an increase over the month up 3,000 jobs, or 1.4 percent.</w:t>
      </w:r>
      <w:r w:rsidR="00D92AD8" w:rsidRPr="00D92AD8">
        <w:t xml:space="preserve"> </w:t>
      </w:r>
      <w:r w:rsidR="00D92AD8" w:rsidRPr="003E6F8C">
        <w:t>With June’s gains, 38</w:t>
      </w:r>
      <w:r w:rsidR="00D92AD8">
        <w:t>-</w:t>
      </w:r>
      <w:r w:rsidR="00D92AD8" w:rsidRPr="003E6F8C">
        <w:t>percent of the 350,000 jobs lost in March an</w:t>
      </w:r>
      <w:r w:rsidR="00D92AD8">
        <w:t>d April have now been recovered.</w:t>
      </w:r>
      <w:r w:rsidR="00D92AD8" w:rsidRPr="00F77F80">
        <w:t xml:space="preserve"> While this is an improvement, </w:t>
      </w:r>
      <w:r w:rsidR="00D92AD8">
        <w:t>cautious optimism remains warranted due to rising cases of COVID-19 across the Houston region</w:t>
      </w:r>
      <w:r w:rsidR="00D92AD8" w:rsidRPr="00F77F80">
        <w:t>.</w:t>
      </w:r>
      <w:r w:rsidR="00D92AD8">
        <w:t xml:space="preserve">  </w:t>
      </w:r>
    </w:p>
    <w:p w14:paraId="46A77F54" w14:textId="57ED76A8" w:rsidR="001E3062" w:rsidRDefault="001E3062" w:rsidP="001E3062">
      <w:r>
        <w:t xml:space="preserve"> </w:t>
      </w:r>
    </w:p>
    <w:p w14:paraId="4AEA9745" w14:textId="14B6E7C2" w:rsidR="0074354D" w:rsidRDefault="006C2D55" w:rsidP="00D34DF9">
      <w:r w:rsidRPr="00401115">
        <w:t>“</w:t>
      </w:r>
      <w:r>
        <w:t>The p</w:t>
      </w:r>
      <w:r w:rsidRPr="003E6F8C">
        <w:t xml:space="preserve">hased reopening of Houston area businesses </w:t>
      </w:r>
      <w:r>
        <w:t xml:space="preserve">in </w:t>
      </w:r>
      <w:r w:rsidRPr="003E6F8C">
        <w:t xml:space="preserve">early May </w:t>
      </w:r>
      <w:r>
        <w:t>permitted bars to operate at 50-</w:t>
      </w:r>
      <w:r w:rsidRPr="003E6F8C">
        <w:t>percent capacity by June 3</w:t>
      </w:r>
      <w:r w:rsidRPr="003E6F8C">
        <w:rPr>
          <w:vertAlign w:val="superscript"/>
        </w:rPr>
        <w:t>rd</w:t>
      </w:r>
      <w:r>
        <w:t xml:space="preserve"> and restaurants at 75-</w:t>
      </w:r>
      <w:r w:rsidRPr="003E6F8C">
        <w:t xml:space="preserve">percent </w:t>
      </w:r>
      <w:r>
        <w:t xml:space="preserve">by </w:t>
      </w:r>
      <w:r w:rsidRPr="003E6F8C">
        <w:t>June 12</w:t>
      </w:r>
      <w:r w:rsidRPr="003E6F8C">
        <w:rPr>
          <w:vertAlign w:val="superscript"/>
        </w:rPr>
        <w:t>th</w:t>
      </w:r>
      <w:r>
        <w:t xml:space="preserve">. </w:t>
      </w:r>
      <w:r w:rsidRPr="003E6F8C">
        <w:t xml:space="preserve">These events likely contributed to the strong job gains observed in </w:t>
      </w:r>
      <w:r w:rsidR="00D92AD8">
        <w:t xml:space="preserve">the Leisure and Hospitality </w:t>
      </w:r>
      <w:r w:rsidRPr="003E6F8C">
        <w:t>sector for the month of June</w:t>
      </w:r>
      <w:r w:rsidRPr="00401115">
        <w:t xml:space="preserve">,” </w:t>
      </w:r>
      <w:r>
        <w:t xml:space="preserve">noted </w:t>
      </w:r>
      <w:r w:rsidRPr="00401115">
        <w:t>Workforce Sol</w:t>
      </w:r>
      <w:r>
        <w:t>utions Economist, Parker Harvey. “H</w:t>
      </w:r>
      <w:r w:rsidRPr="003E6F8C">
        <w:t>owever</w:t>
      </w:r>
      <w:r>
        <w:t>,</w:t>
      </w:r>
      <w:r w:rsidRPr="003E6F8C">
        <w:t xml:space="preserve"> the strength of gains going forward is now in question</w:t>
      </w:r>
      <w:r>
        <w:t xml:space="preserve"> given the reversion back to 50-</w:t>
      </w:r>
      <w:r w:rsidRPr="003E6F8C">
        <w:t>percent capacity for restaurants and the re-clo</w:t>
      </w:r>
      <w:r>
        <w:t xml:space="preserve">sure of bars at the end of June.” Harvey also added </w:t>
      </w:r>
      <w:r w:rsidR="003E6F8C">
        <w:t>“</w:t>
      </w:r>
      <w:r w:rsidR="00F95B36">
        <w:t>…</w:t>
      </w:r>
      <w:r>
        <w:t>a</w:t>
      </w:r>
      <w:r w:rsidR="003E6F8C">
        <w:t>s t</w:t>
      </w:r>
      <w:r w:rsidR="00F77F80">
        <w:t>he COVID-19 pandemic continues to evolve</w:t>
      </w:r>
      <w:r w:rsidR="003E6F8C">
        <w:t xml:space="preserve">, </w:t>
      </w:r>
      <w:r w:rsidR="00D92AD8">
        <w:t>the</w:t>
      </w:r>
      <w:r w:rsidR="00F95B36">
        <w:t xml:space="preserve"> manner in which</w:t>
      </w:r>
      <w:r w:rsidR="00D92AD8">
        <w:t xml:space="preserve"> policymakers, businesses, and consumers </w:t>
      </w:r>
      <w:r w:rsidR="00F77F80">
        <w:t xml:space="preserve">adapt to the </w:t>
      </w:r>
      <w:r w:rsidR="00D92AD8">
        <w:t xml:space="preserve">ongoing uncertainty will dictate the near-term strength of the job market.” </w:t>
      </w:r>
    </w:p>
    <w:p w14:paraId="1EDD4A00" w14:textId="2A6C969A" w:rsidR="0048413D" w:rsidRDefault="0048413D" w:rsidP="00D34DF9"/>
    <w:p w14:paraId="7FF8C9DA" w14:textId="5A19AD28" w:rsidR="00B659DF" w:rsidRDefault="00B659DF" w:rsidP="00B659DF">
      <w:r>
        <w:t xml:space="preserve">Workforce Solutions continues to operate remotely to meet the </w:t>
      </w:r>
      <w:r w:rsidR="0020000E">
        <w:t xml:space="preserve">employment </w:t>
      </w:r>
      <w:r>
        <w:t>needs of the Houston-Galveston region.   “With a team of almost one thousand workforce professionals, we are embracing technology such as virtual job fairs to connect employers with qualified candidates.” said Michelle Castrow, a manager with Workforce Solutions.  “Next week’s job fairs include one to fill openings in local public health agencies. And, to mark the 30</w:t>
      </w:r>
      <w:r w:rsidRPr="00302493">
        <w:rPr>
          <w:vertAlign w:val="superscript"/>
        </w:rPr>
        <w:t>th</w:t>
      </w:r>
      <w:r>
        <w:t xml:space="preserve"> anniversary of the Americans with Disabilities Act, we will host a virtual job fair to help people with disabilities re-enter the workforce.”  </w:t>
      </w:r>
    </w:p>
    <w:p w14:paraId="0664AD1B" w14:textId="77777777" w:rsidR="00B659DF" w:rsidRDefault="00B659DF" w:rsidP="00B659DF"/>
    <w:p w14:paraId="5F51907D" w14:textId="77777777" w:rsidR="00B659DF" w:rsidRDefault="00B659DF" w:rsidP="00B659DF">
      <w:r>
        <w:t xml:space="preserve">To see the complete list of virtual events, please visit </w:t>
      </w:r>
      <w:hyperlink r:id="rId8" w:history="1">
        <w:r w:rsidRPr="002530DF">
          <w:rPr>
            <w:rStyle w:val="Hyperlink"/>
          </w:rPr>
          <w:t>www.wrksolutions.com/events</w:t>
        </w:r>
      </w:hyperlink>
      <w:r>
        <w:t>.</w:t>
      </w:r>
    </w:p>
    <w:p w14:paraId="572107A4" w14:textId="77777777" w:rsidR="00B659DF" w:rsidRDefault="00B659DF" w:rsidP="00B659DF"/>
    <w:p w14:paraId="292EFE90" w14:textId="77777777" w:rsidR="00B659DF" w:rsidRDefault="00B659DF" w:rsidP="00B659DF">
      <w:r>
        <w:t xml:space="preserve">To connect with an employment counselor, call 1-888-469-JOBS [5627]. </w:t>
      </w:r>
    </w:p>
    <w:p w14:paraId="4EFEB03B" w14:textId="1BBB997C" w:rsidR="00703CF5" w:rsidRDefault="00703CF5" w:rsidP="00D34DF9">
      <w:bookmarkStart w:id="0" w:name="_GoBack"/>
      <w:bookmarkEnd w:id="0"/>
    </w:p>
    <w:p w14:paraId="49D31A2C" w14:textId="601DC2C7" w:rsidR="00F77F80" w:rsidRPr="00425DD0" w:rsidRDefault="00F77F80" w:rsidP="00F77F80">
      <w:r w:rsidRPr="00425DD0">
        <w:t xml:space="preserve">Additional labor market information including the detailed </w:t>
      </w:r>
      <w:r>
        <w:t>June</w:t>
      </w:r>
      <w:r w:rsidRPr="00425DD0">
        <w:t xml:space="preserve"> report can be found at wrksolutions.com/localstats. The Texas Workforce Commission will release employment data for </w:t>
      </w:r>
      <w:r>
        <w:t>June on July 17</w:t>
      </w:r>
      <w:r w:rsidRPr="00425DD0">
        <w:t>, 2020.</w:t>
      </w:r>
    </w:p>
    <w:p w14:paraId="2BA78957" w14:textId="77777777" w:rsidR="00AB3A8D" w:rsidRDefault="00AB3A8D" w:rsidP="009F766E"/>
    <w:p w14:paraId="7A9B9322" w14:textId="77777777" w:rsidR="00D73AC5" w:rsidRDefault="00D73AC5" w:rsidP="00D73AC5">
      <w:pPr>
        <w:tabs>
          <w:tab w:val="left" w:pos="5220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# # #</w:t>
      </w:r>
    </w:p>
    <w:p w14:paraId="249B88B7" w14:textId="77777777" w:rsidR="00772E7F" w:rsidRDefault="00772E7F" w:rsidP="00772E7F">
      <w:pPr>
        <w:spacing w:after="160" w:line="259" w:lineRule="auto"/>
        <w:ind w:right="900"/>
        <w:rPr>
          <w:b/>
          <w:sz w:val="20"/>
          <w:szCs w:val="22"/>
        </w:rPr>
      </w:pPr>
    </w:p>
    <w:p w14:paraId="609489D0" w14:textId="5DFBEC0D" w:rsidR="00F348B2" w:rsidRPr="00D73AC5" w:rsidRDefault="00772E7F" w:rsidP="00772E7F">
      <w:pPr>
        <w:spacing w:after="160" w:line="259" w:lineRule="auto"/>
        <w:ind w:right="900"/>
      </w:pPr>
      <w:r>
        <w:rPr>
          <w:b/>
          <w:sz w:val="20"/>
          <w:szCs w:val="22"/>
        </w:rPr>
        <w:t>A</w:t>
      </w:r>
      <w:r w:rsidR="008B407A" w:rsidRPr="008B407A">
        <w:rPr>
          <w:b/>
          <w:sz w:val="20"/>
          <w:szCs w:val="22"/>
        </w:rPr>
        <w:t>BOUT WORKFORCE SOLUTIONS:</w:t>
      </w:r>
      <w:r w:rsidR="008B407A" w:rsidRPr="008B407A">
        <w:rPr>
          <w:sz w:val="20"/>
          <w:szCs w:val="22"/>
        </w:rPr>
        <w:t xml:space="preserve"> Workforce Solutions is dedicated to keeping the Gulf Coast region a great place to do business, work, and live. Our employer-driven, people-focused approach elevates the economic and human potential of the region to attract and retain the best employers, afford everyone the dignity of a job, and remain indispensable to the global economy. As the public workforce system for</w:t>
      </w:r>
      <w:r w:rsidR="006824E8">
        <w:rPr>
          <w:sz w:val="20"/>
          <w:szCs w:val="22"/>
        </w:rPr>
        <w:t xml:space="preserve"> </w:t>
      </w:r>
      <w:r w:rsidR="008B407A" w:rsidRPr="008B407A">
        <w:rPr>
          <w:sz w:val="20"/>
          <w:szCs w:val="22"/>
        </w:rPr>
        <w:t xml:space="preserve">13 counties in </w:t>
      </w:r>
      <w:r w:rsidR="00120D09">
        <w:rPr>
          <w:sz w:val="20"/>
          <w:szCs w:val="22"/>
        </w:rPr>
        <w:t>the Houston-Galveston region</w:t>
      </w:r>
      <w:r w:rsidR="008B407A" w:rsidRPr="008B407A">
        <w:rPr>
          <w:sz w:val="20"/>
          <w:szCs w:val="22"/>
        </w:rPr>
        <w:t>, we work in tandem with the Texas Workforce Commission and the statewide Workforce Solutions network to maintain the state’s largest job-match database - WorkInTexas.com.</w:t>
      </w:r>
    </w:p>
    <w:sectPr w:rsidR="00F348B2" w:rsidRPr="00D73AC5" w:rsidSect="00A70743">
      <w:headerReference w:type="default" r:id="rId9"/>
      <w:footerReference w:type="default" r:id="rId10"/>
      <w:pgSz w:w="12240" w:h="15840"/>
      <w:pgMar w:top="279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AE9E4" w14:textId="77777777" w:rsidR="00AF383A" w:rsidRDefault="00AF383A" w:rsidP="00F348B2">
      <w:r>
        <w:separator/>
      </w:r>
    </w:p>
  </w:endnote>
  <w:endnote w:type="continuationSeparator" w:id="0">
    <w:p w14:paraId="1A37AE47" w14:textId="77777777" w:rsidR="00AF383A" w:rsidRDefault="00AF383A" w:rsidP="00F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-Regular">
    <w:altName w:val="Calibri"/>
    <w:charset w:val="4D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384E" w14:textId="588A553E" w:rsidR="00E02514" w:rsidRPr="00A77647" w:rsidRDefault="00256885" w:rsidP="0099581F">
    <w:pPr>
      <w:pStyle w:val="hgaclhfooterurlphone"/>
      <w:pBdr>
        <w:top w:val="none" w:sz="0" w:space="0" w:color="auto"/>
      </w:pBdr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DEC2E9" wp14:editId="503164B1">
              <wp:simplePos x="0" y="0"/>
              <wp:positionH relativeFrom="page">
                <wp:posOffset>457612</wp:posOffset>
              </wp:positionH>
              <wp:positionV relativeFrom="page">
                <wp:posOffset>9006997</wp:posOffset>
              </wp:positionV>
              <wp:extent cx="6858000" cy="0"/>
              <wp:effectExtent l="0" t="0" r="12700" b="127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B5D4476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05pt,709.2pt" to="576.05pt,7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ls1wEAAA4EAAAOAAAAZHJzL2Uyb0RvYy54bWysU8GO0zAQvSPxD5bvNMmiXaqo6R66Wi4I&#10;Kpb9AK9jN5ZsjzU2Tfr3jJ02XQESAnFxYs+8N/Pe2Jv7yVl2VBgN+I43q5oz5SX0xh86/vzt8d2a&#10;s5iE74UFrzp+UpHfb9++2YyhVTcwgO0VMiLxsR1Dx4eUQltVUQ7KibiCoDwFNaATibZ4qHoUI7E7&#10;W93U9V01AvYBQaoY6fRhDvJt4ddayfRF66gSsx2n3lJZsawvea22G9EeUITByHMb4h+6cMJ4KrpQ&#10;PYgk2Hc0v1A5IxEi6LSS4CrQ2khVNJCapv5JzdMggipayJwYFpvi/6OVn497ZKan2dGkvHA0o6eE&#10;whyGxHbgPTkIyChITo0htgTY+T2edzHsMcueNLr8JUFsKu6eFnfVlJikw7v17bquaQjyEquuwIAx&#10;fVTgWP7puDU+CxetOH6KiYpR6iUlH1vPxo6/bz7clqwI1vSPxtocK3dH7Syyo6Cpp6nJvRPBqyza&#10;WU+HWdGsofylk1Uz/VelyRXqupkL5Pt45RRSKp8uvNZTdoZp6mAB1n8GnvMzVJW7+jfgBVEqg08L&#10;2BkP+LvqVyv0nH9xYNadLXiB/lSmW6yhS1ecOz+QfKtf7wv8+oy3PwAAAP//AwBQSwMEFAAGAAgA&#10;AAAhANB57dbgAAAADQEAAA8AAABkcnMvZG93bnJldi54bWxMj8FKw0AQhu+C77BMwUuxm62plphN&#10;EVGkIJVWL71ts9MkmJ0Nu9smfXs3B9HjfPPzzzf5ajAtO6PzjSUJYpYAQyqtbqiS8PX5ersE5oMi&#10;rVpLKOGCHlbF9VWuMm172uJ5FyoWS8hnSkIdQpdx7ssajfIz2yHF3dE6o0IcXcW1U30sNy2fJ8k9&#10;N6qheKFWHT7XWH7vTkbC4uXtXWw2Pvno+f4u5Zf1dOv2Ut5MhqdHYAGH8BeGUT+qQxGdDvZE2rNW&#10;wsNcxGTkqVimwMaEWIzs8Mt4kfP/XxQ/AAAA//8DAFBLAQItABQABgAIAAAAIQC2gziS/gAAAOEB&#10;AAATAAAAAAAAAAAAAAAAAAAAAABbQ29udGVudF9UeXBlc10ueG1sUEsBAi0AFAAGAAgAAAAhADj9&#10;If/WAAAAlAEAAAsAAAAAAAAAAAAAAAAALwEAAF9yZWxzLy5yZWxzUEsBAi0AFAAGAAgAAAAhAC5G&#10;6WzXAQAADgQAAA4AAAAAAAAAAAAAAAAALgIAAGRycy9lMm9Eb2MueG1sUEsBAi0AFAAGAAgAAAAh&#10;ANB57dbgAAAADQEAAA8AAAAAAAAAAAAAAAAAMQQAAGRycy9kb3ducmV2LnhtbFBLBQYAAAAABAAE&#10;APMAAAA+BQAAAAA=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A77647">
      <w:rPr>
        <w:noProof/>
      </w:rPr>
      <w:drawing>
        <wp:anchor distT="0" distB="0" distL="114300" distR="114300" simplePos="0" relativeHeight="251661312" behindDoc="0" locked="0" layoutInCell="1" allowOverlap="1" wp14:anchorId="6E2849F2" wp14:editId="66D7F7E2">
          <wp:simplePos x="0" y="0"/>
          <wp:positionH relativeFrom="page">
            <wp:posOffset>4846955</wp:posOffset>
          </wp:positionH>
          <wp:positionV relativeFrom="page">
            <wp:posOffset>9134063</wp:posOffset>
          </wp:positionV>
          <wp:extent cx="2476500" cy="161925"/>
          <wp:effectExtent l="0" t="0" r="0" b="9525"/>
          <wp:wrapNone/>
          <wp:docPr id="12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2514" w:rsidRPr="00A77647">
      <w:rPr>
        <w:b/>
      </w:rPr>
      <w:t>www.wrksolutions.com</w:t>
    </w:r>
    <w:r w:rsidR="00E02514" w:rsidRPr="00A77647">
      <w:t xml:space="preserve">  1.888.469.JOBS (5627)</w:t>
    </w:r>
  </w:p>
  <w:p w14:paraId="1E90B957" w14:textId="77777777" w:rsidR="00E02514" w:rsidRPr="00EB76E1" w:rsidRDefault="00E02514" w:rsidP="0099581F">
    <w:pPr>
      <w:pStyle w:val="hgaclhfooter"/>
      <w:ind w:left="0"/>
    </w:pPr>
    <w:r w:rsidRPr="00A77647">
      <w:t xml:space="preserve">Workforce Solutions is an equal opportunity employer/program. Auxiliary aids and </w:t>
    </w:r>
    <w:r w:rsidRPr="00EB76E1">
      <w:t>services are available</w:t>
    </w:r>
  </w:p>
  <w:p w14:paraId="4CB03B6B" w14:textId="14BDC930" w:rsidR="00256885" w:rsidRDefault="00E02514" w:rsidP="0099581F">
    <w:pPr>
      <w:pStyle w:val="hgaclhfooter"/>
      <w:ind w:left="0"/>
    </w:pPr>
    <w:r w:rsidRPr="00EB76E1">
      <w:t>upon request to individuals with disabilities</w:t>
    </w:r>
    <w:r w:rsidR="00DF5D44">
      <w:t>. (Please request reasonable accomm</w:t>
    </w:r>
    <w:r w:rsidR="006F08E0">
      <w:t>odations a minimum</w:t>
    </w:r>
    <w:r w:rsidR="00256885">
      <w:t xml:space="preserve"> </w:t>
    </w:r>
  </w:p>
  <w:p w14:paraId="31231081" w14:textId="1FE44F2A" w:rsidR="00F348B2" w:rsidRPr="00EB76E1" w:rsidRDefault="006F08E0" w:rsidP="0099581F">
    <w:pPr>
      <w:pStyle w:val="hgaclhfooter"/>
      <w:ind w:left="0"/>
    </w:pPr>
    <w:r>
      <w:t>of two business days in advance</w:t>
    </w:r>
    <w:r w:rsidR="00E02514" w:rsidRPr="00EB76E1">
      <w:t>.</w:t>
    </w:r>
    <w:r>
      <w:t xml:space="preserve">) </w:t>
    </w:r>
    <w:r w:rsidR="00E02514" w:rsidRPr="00EB76E1">
      <w:t xml:space="preserve"> </w:t>
    </w:r>
    <w:r w:rsidR="00E02514" w:rsidRPr="00D77F5F">
      <w:rPr>
        <w:rFonts w:cs="Arial"/>
        <w:b/>
      </w:rPr>
      <w:t>Relay Texas:</w:t>
    </w:r>
    <w:r w:rsidR="00E02514" w:rsidRPr="00EB76E1">
      <w:t xml:space="preserve"> 1.800.735.2989 (TDD) 1.800.735.2988 (voice) or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7FCD" w14:textId="77777777" w:rsidR="00AF383A" w:rsidRDefault="00AF383A" w:rsidP="00F348B2">
      <w:r>
        <w:separator/>
      </w:r>
    </w:p>
  </w:footnote>
  <w:footnote w:type="continuationSeparator" w:id="0">
    <w:p w14:paraId="6BC24D67" w14:textId="77777777" w:rsidR="00AF383A" w:rsidRDefault="00AF383A" w:rsidP="00F3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1CA2" w14:textId="71BB626F" w:rsidR="00BB14ED" w:rsidRDefault="00D271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19A76" wp14:editId="4FE24C41">
          <wp:simplePos x="0" y="0"/>
          <wp:positionH relativeFrom="page">
            <wp:posOffset>457200</wp:posOffset>
          </wp:positionH>
          <wp:positionV relativeFrom="page">
            <wp:posOffset>542925</wp:posOffset>
          </wp:positionV>
          <wp:extent cx="1637665" cy="370840"/>
          <wp:effectExtent l="0" t="0" r="635" b="0"/>
          <wp:wrapNone/>
          <wp:docPr id="126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4ED">
      <w:rPr>
        <w:noProof/>
      </w:rPr>
      <w:drawing>
        <wp:anchor distT="0" distB="0" distL="114300" distR="114300" simplePos="0" relativeHeight="251658239" behindDoc="1" locked="0" layoutInCell="1" allowOverlap="1" wp14:anchorId="57529055" wp14:editId="6D2E763D">
          <wp:simplePos x="0" y="0"/>
          <wp:positionH relativeFrom="column">
            <wp:posOffset>6373495</wp:posOffset>
          </wp:positionH>
          <wp:positionV relativeFrom="page">
            <wp:posOffset>-14605</wp:posOffset>
          </wp:positionV>
          <wp:extent cx="939800" cy="1955800"/>
          <wp:effectExtent l="0" t="0" r="0" b="0"/>
          <wp:wrapNone/>
          <wp:docPr id="125" name="Picture 1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95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C25F5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2FE8D6D6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12869761" w14:textId="77777777" w:rsidR="00BB14ED" w:rsidRDefault="00BB14ED" w:rsidP="00BB14ED">
    <w:pPr>
      <w:pStyle w:val="BasicParagraph"/>
      <w:spacing w:after="60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506A15BA" w14:textId="1A15F1E6" w:rsidR="00BB14ED" w:rsidRDefault="00253FC1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  <w:r>
      <w:rPr>
        <w:rFonts w:ascii="Arial-BoldMT" w:hAnsi="Arial-BoldMT" w:cs="Arial-BoldMT"/>
        <w:b/>
        <w:bCs/>
        <w:color w:val="6E6E6E"/>
        <w:sz w:val="16"/>
        <w:szCs w:val="16"/>
      </w:rPr>
      <w:t>Gulf Coast Workforce Board</w:t>
    </w:r>
  </w:p>
  <w:p w14:paraId="10D06C95" w14:textId="54FB6BF0" w:rsidR="00BB14ED" w:rsidRDefault="00121765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MT" w:hAnsi="ArialMT" w:cs="ArialMT"/>
        <w:color w:val="6E6E6E"/>
        <w:sz w:val="16"/>
        <w:szCs w:val="16"/>
      </w:rPr>
      <w:t xml:space="preserve">P.O. Box 22777 </w:t>
    </w:r>
    <w:r>
      <w:rPr>
        <w:rFonts w:ascii="Arial" w:hAnsi="Arial" w:cs="Arial"/>
        <w:color w:val="6E6E6E"/>
        <w:sz w:val="16"/>
        <w:szCs w:val="16"/>
      </w:rPr>
      <w:t>•</w:t>
    </w:r>
    <w:r>
      <w:rPr>
        <w:rFonts w:ascii="ArialMT" w:hAnsi="ArialMT" w:cs="ArialMT"/>
        <w:color w:val="6E6E6E"/>
        <w:sz w:val="16"/>
        <w:szCs w:val="16"/>
      </w:rPr>
      <w:t xml:space="preserve"> Houston, Texas 77227-2777</w:t>
    </w:r>
  </w:p>
  <w:p w14:paraId="26E2506B" w14:textId="78361CEC" w:rsidR="00BB14ED" w:rsidRDefault="00BB14ED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-BoldMT" w:hAnsi="Arial-BoldMT" w:cs="Arial-BoldMT"/>
        <w:b/>
        <w:bCs/>
        <w:caps/>
        <w:color w:val="E97B00"/>
        <w:sz w:val="12"/>
        <w:szCs w:val="12"/>
      </w:rPr>
      <w:t>main:</w:t>
    </w:r>
    <w:r>
      <w:rPr>
        <w:rFonts w:ascii="ArialMT" w:hAnsi="ArialMT" w:cs="ArialMT"/>
        <w:color w:val="E97B00"/>
        <w:sz w:val="16"/>
        <w:szCs w:val="16"/>
      </w:rPr>
      <w:t xml:space="preserve"> </w:t>
    </w:r>
    <w:r w:rsidR="00121765">
      <w:rPr>
        <w:rFonts w:ascii="ArialMT" w:hAnsi="ArialMT" w:cs="ArialMT"/>
        <w:color w:val="6E6E6E"/>
        <w:sz w:val="16"/>
        <w:szCs w:val="16"/>
      </w:rPr>
      <w:t>713.627.3200</w:t>
    </w:r>
    <w:r>
      <w:rPr>
        <w:rFonts w:ascii="ArialMT" w:hAnsi="ArialMT" w:cs="ArialMT"/>
        <w:sz w:val="16"/>
        <w:szCs w:val="16"/>
      </w:rPr>
      <w:t xml:space="preserve">  </w:t>
    </w:r>
    <w:r>
      <w:rPr>
        <w:rFonts w:ascii="Arial-BoldMT" w:hAnsi="Arial-BoldMT" w:cs="Arial-BoldMT"/>
        <w:b/>
        <w:bCs/>
        <w:caps/>
        <w:color w:val="E97B00"/>
        <w:sz w:val="12"/>
        <w:szCs w:val="12"/>
      </w:rPr>
      <w:t>fax:</w:t>
    </w:r>
    <w:r>
      <w:rPr>
        <w:rFonts w:ascii="ArialMT" w:hAnsi="ArialMT" w:cs="ArialMT"/>
        <w:color w:val="E97B00"/>
        <w:sz w:val="16"/>
        <w:szCs w:val="16"/>
      </w:rPr>
      <w:t xml:space="preserve"> </w:t>
    </w:r>
    <w:r w:rsidR="00121765">
      <w:rPr>
        <w:rFonts w:ascii="ArialMT" w:hAnsi="ArialMT" w:cs="ArialMT"/>
        <w:color w:val="6E6E6E"/>
        <w:sz w:val="16"/>
        <w:szCs w:val="16"/>
      </w:rPr>
      <w:t>713.993.4578</w:t>
    </w:r>
  </w:p>
  <w:p w14:paraId="5333ECDD" w14:textId="13BDC1AA" w:rsidR="00BB14ED" w:rsidRDefault="00BB14ED">
    <w:pPr>
      <w:pStyle w:val="Header"/>
    </w:pPr>
    <w:r>
      <w:rPr>
        <w:rFonts w:ascii="Arial-BoldMT" w:hAnsi="Arial-BoldMT" w:cs="Arial-BoldMT"/>
        <w:b/>
        <w:bCs/>
        <w:color w:val="6E6E6E"/>
        <w:sz w:val="16"/>
        <w:szCs w:val="16"/>
      </w:rPr>
      <w:t>www.wrksolutions.com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3685E"/>
    <w:multiLevelType w:val="hybridMultilevel"/>
    <w:tmpl w:val="893C3E0C"/>
    <w:lvl w:ilvl="0" w:tplc="4AD43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B2"/>
    <w:rsid w:val="0003409C"/>
    <w:rsid w:val="00056335"/>
    <w:rsid w:val="00060921"/>
    <w:rsid w:val="00080FCB"/>
    <w:rsid w:val="00096CC3"/>
    <w:rsid w:val="00120D09"/>
    <w:rsid w:val="00121765"/>
    <w:rsid w:val="0015205B"/>
    <w:rsid w:val="0019113E"/>
    <w:rsid w:val="001C45C1"/>
    <w:rsid w:val="001E3062"/>
    <w:rsid w:val="0020000E"/>
    <w:rsid w:val="0020092C"/>
    <w:rsid w:val="00213924"/>
    <w:rsid w:val="00242447"/>
    <w:rsid w:val="00253FC1"/>
    <w:rsid w:val="00256885"/>
    <w:rsid w:val="0026550A"/>
    <w:rsid w:val="0028140B"/>
    <w:rsid w:val="002A646B"/>
    <w:rsid w:val="002C2E24"/>
    <w:rsid w:val="002F06AA"/>
    <w:rsid w:val="0034607C"/>
    <w:rsid w:val="003A4734"/>
    <w:rsid w:val="003B67D7"/>
    <w:rsid w:val="003C4CE0"/>
    <w:rsid w:val="003E6F8C"/>
    <w:rsid w:val="00401115"/>
    <w:rsid w:val="004118BE"/>
    <w:rsid w:val="00425DD0"/>
    <w:rsid w:val="00477ADB"/>
    <w:rsid w:val="0048413D"/>
    <w:rsid w:val="004E13F2"/>
    <w:rsid w:val="004E4676"/>
    <w:rsid w:val="004F0EE3"/>
    <w:rsid w:val="00566B25"/>
    <w:rsid w:val="005A3AA3"/>
    <w:rsid w:val="005B7773"/>
    <w:rsid w:val="005D7D7E"/>
    <w:rsid w:val="005F21E9"/>
    <w:rsid w:val="006136CF"/>
    <w:rsid w:val="00622513"/>
    <w:rsid w:val="00644F40"/>
    <w:rsid w:val="006824E8"/>
    <w:rsid w:val="00686AD5"/>
    <w:rsid w:val="00696151"/>
    <w:rsid w:val="006A12D3"/>
    <w:rsid w:val="006B4AEE"/>
    <w:rsid w:val="006C2D55"/>
    <w:rsid w:val="006E5FDA"/>
    <w:rsid w:val="006F08E0"/>
    <w:rsid w:val="006F1F8F"/>
    <w:rsid w:val="00703CF5"/>
    <w:rsid w:val="0074354D"/>
    <w:rsid w:val="007625D8"/>
    <w:rsid w:val="00772E7F"/>
    <w:rsid w:val="0077497F"/>
    <w:rsid w:val="007B4F1F"/>
    <w:rsid w:val="007C01E2"/>
    <w:rsid w:val="007D1375"/>
    <w:rsid w:val="00812C04"/>
    <w:rsid w:val="008372AC"/>
    <w:rsid w:val="00867C47"/>
    <w:rsid w:val="008B407A"/>
    <w:rsid w:val="008D30BD"/>
    <w:rsid w:val="009047FA"/>
    <w:rsid w:val="00941391"/>
    <w:rsid w:val="00955D08"/>
    <w:rsid w:val="00961A83"/>
    <w:rsid w:val="00967FA1"/>
    <w:rsid w:val="0099581F"/>
    <w:rsid w:val="009E718F"/>
    <w:rsid w:val="009F766E"/>
    <w:rsid w:val="00A067E8"/>
    <w:rsid w:val="00A10B89"/>
    <w:rsid w:val="00A21B1C"/>
    <w:rsid w:val="00A22212"/>
    <w:rsid w:val="00A23A2C"/>
    <w:rsid w:val="00A70743"/>
    <w:rsid w:val="00A77647"/>
    <w:rsid w:val="00AB3A8D"/>
    <w:rsid w:val="00AF383A"/>
    <w:rsid w:val="00B04969"/>
    <w:rsid w:val="00B132F2"/>
    <w:rsid w:val="00B16FF0"/>
    <w:rsid w:val="00B46923"/>
    <w:rsid w:val="00B64FB6"/>
    <w:rsid w:val="00B659DF"/>
    <w:rsid w:val="00BB14ED"/>
    <w:rsid w:val="00BB208F"/>
    <w:rsid w:val="00BB7FDB"/>
    <w:rsid w:val="00C21082"/>
    <w:rsid w:val="00C45D0A"/>
    <w:rsid w:val="00C85E69"/>
    <w:rsid w:val="00CC22AD"/>
    <w:rsid w:val="00CC6773"/>
    <w:rsid w:val="00CF4AB1"/>
    <w:rsid w:val="00D009CA"/>
    <w:rsid w:val="00D27146"/>
    <w:rsid w:val="00D34DF9"/>
    <w:rsid w:val="00D37A8B"/>
    <w:rsid w:val="00D73AC5"/>
    <w:rsid w:val="00D74904"/>
    <w:rsid w:val="00D77F5F"/>
    <w:rsid w:val="00D92AD8"/>
    <w:rsid w:val="00D96C94"/>
    <w:rsid w:val="00DE3D0B"/>
    <w:rsid w:val="00DF10D9"/>
    <w:rsid w:val="00DF5D44"/>
    <w:rsid w:val="00E02514"/>
    <w:rsid w:val="00E07740"/>
    <w:rsid w:val="00E34B13"/>
    <w:rsid w:val="00E566C0"/>
    <w:rsid w:val="00E92F57"/>
    <w:rsid w:val="00EA2CA1"/>
    <w:rsid w:val="00EB0939"/>
    <w:rsid w:val="00EB0C9A"/>
    <w:rsid w:val="00EB76E1"/>
    <w:rsid w:val="00EE5B7A"/>
    <w:rsid w:val="00EE7F58"/>
    <w:rsid w:val="00F2271F"/>
    <w:rsid w:val="00F348B2"/>
    <w:rsid w:val="00F3776C"/>
    <w:rsid w:val="00F611B3"/>
    <w:rsid w:val="00F77F80"/>
    <w:rsid w:val="00F95B36"/>
    <w:rsid w:val="00FB29B7"/>
    <w:rsid w:val="00FC3AF6"/>
    <w:rsid w:val="00FD453D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97F469"/>
  <w15:docId w15:val="{02C09F28-A296-4146-B246-782BF19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B2"/>
  </w:style>
  <w:style w:type="paragraph" w:styleId="Footer">
    <w:name w:val="footer"/>
    <w:basedOn w:val="Normal"/>
    <w:link w:val="Foot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B2"/>
  </w:style>
  <w:style w:type="paragraph" w:customStyle="1" w:styleId="hgaclhbody1216">
    <w:name w:val="hgac lh body 12/16"/>
    <w:basedOn w:val="Normal"/>
    <w:uiPriority w:val="99"/>
    <w:rsid w:val="002A646B"/>
    <w:pPr>
      <w:autoSpaceDE w:val="0"/>
      <w:autoSpaceDN w:val="0"/>
      <w:adjustRightInd w:val="0"/>
      <w:spacing w:line="320" w:lineRule="atLeast"/>
      <w:textAlignment w:val="center"/>
    </w:pPr>
    <w:rPr>
      <w:rFonts w:ascii="AGaramond-Regular" w:eastAsia="Arial" w:hAnsi="AGaramond-Regular" w:cs="AGaramond-Regular"/>
      <w:color w:val="000000"/>
    </w:rPr>
  </w:style>
  <w:style w:type="paragraph" w:customStyle="1" w:styleId="hgaclhfooter">
    <w:name w:val="hgac lh footer"/>
    <w:qFormat/>
    <w:rsid w:val="00EB76E1"/>
    <w:pPr>
      <w:spacing w:line="160" w:lineRule="exact"/>
      <w:ind w:left="-720"/>
    </w:pPr>
    <w:rPr>
      <w:rFonts w:ascii="Arial" w:eastAsia="Arial" w:hAnsi="Arial" w:cs="Times New Roman"/>
      <w:color w:val="6D6F71"/>
      <w:sz w:val="12"/>
      <w:szCs w:val="22"/>
    </w:rPr>
  </w:style>
  <w:style w:type="paragraph" w:customStyle="1" w:styleId="hgaclhfooterurlphone">
    <w:name w:val="hgac lh footer url phone"/>
    <w:basedOn w:val="hgaclhfooter"/>
    <w:qFormat/>
    <w:rsid w:val="00EB76E1"/>
    <w:pPr>
      <w:pBdr>
        <w:top w:val="single" w:sz="4" w:space="1" w:color="auto"/>
      </w:pBdr>
      <w:snapToGrid w:val="0"/>
      <w:spacing w:line="320" w:lineRule="exact"/>
    </w:pPr>
    <w:rPr>
      <w:sz w:val="20"/>
      <w:szCs w:val="20"/>
    </w:rPr>
  </w:style>
  <w:style w:type="paragraph" w:customStyle="1" w:styleId="NoParagraphStyle">
    <w:name w:val="[No Paragraph Style]"/>
    <w:rsid w:val="00BB14E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BB14ED"/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C1"/>
    <w:rPr>
      <w:i/>
      <w:iCs/>
      <w:color w:val="4472C4" w:themeColor="accent1"/>
      <w:sz w:val="22"/>
      <w:szCs w:val="22"/>
    </w:rPr>
  </w:style>
  <w:style w:type="table" w:styleId="TableGrid">
    <w:name w:val="Table Grid"/>
    <w:basedOn w:val="TableNormal"/>
    <w:uiPriority w:val="39"/>
    <w:rsid w:val="001C45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7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2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.castrow@wrk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Burns</dc:creator>
  <cp:keywords/>
  <dc:description/>
  <cp:lastModifiedBy>Castrow, Michelle</cp:lastModifiedBy>
  <cp:revision>10</cp:revision>
  <cp:lastPrinted>2020-03-20T14:28:00Z</cp:lastPrinted>
  <dcterms:created xsi:type="dcterms:W3CDTF">2020-07-17T18:19:00Z</dcterms:created>
  <dcterms:modified xsi:type="dcterms:W3CDTF">2020-07-17T18:30:00Z</dcterms:modified>
</cp:coreProperties>
</file>